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8CA4" w14:textId="77777777" w:rsidR="00ED33E5" w:rsidRDefault="00AB713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32694DA" wp14:editId="4A292B5D">
            <wp:extent cx="1580400" cy="648000"/>
            <wp:effectExtent l="0" t="0" r="0" b="0"/>
            <wp:docPr id="38" name="image2.jpg" descr="Logo UC orizzontale POSITIVO 540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UC orizzontale POSITIVO 540C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0400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>
        <w:rPr>
          <w:noProof/>
        </w:rPr>
        <w:drawing>
          <wp:inline distT="0" distB="0" distL="0" distR="0" wp14:anchorId="28716328" wp14:editId="20F5BD3D">
            <wp:extent cx="1188000" cy="648000"/>
            <wp:effectExtent l="0" t="0" r="0" b="0"/>
            <wp:docPr id="40" name="image4.png" descr="CREA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REA_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noProof/>
        </w:rPr>
        <w:drawing>
          <wp:inline distT="0" distB="0" distL="0" distR="0" wp14:anchorId="0E69A07C" wp14:editId="053E67ED">
            <wp:extent cx="1015200" cy="612000"/>
            <wp:effectExtent l="0" t="0" r="0" b="0"/>
            <wp:docPr id="39" name="image1.jpg" descr="ANBI_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NBI_ER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61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4625AF63" wp14:editId="2EC63CF6">
            <wp:extent cx="1137600" cy="648000"/>
            <wp:effectExtent l="0" t="0" r="0" b="0"/>
            <wp:docPr id="41" name="image3.png" descr="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ownload.png"/>
                    <pic:cNvPicPr preferRelativeResize="0"/>
                  </pic:nvPicPr>
                  <pic:blipFill>
                    <a:blip r:embed="rId8"/>
                    <a:srcRect l="5128" t="8889" b="23333"/>
                    <a:stretch>
                      <a:fillRect/>
                    </a:stretch>
                  </pic:blipFill>
                  <pic:spPr>
                    <a:xfrm>
                      <a:off x="0" y="0"/>
                      <a:ext cx="1137600" cy="6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43EA491E" w14:textId="77777777" w:rsidR="00ED33E5" w:rsidRDefault="00AB713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</w:p>
    <w:p w14:paraId="0E03E010" w14:textId="77777777" w:rsidR="00ED33E5" w:rsidRDefault="00AB71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Comunicato Stampa</w:t>
      </w:r>
    </w:p>
    <w:p w14:paraId="45B78953" w14:textId="77777777" w:rsidR="00ED33E5" w:rsidRDefault="00ED33E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1C01E1" w14:textId="77777777" w:rsidR="00ED33E5" w:rsidRDefault="00AB713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La pandemia ha cambiato l’alimentazione degli adolescenti? </w:t>
      </w:r>
    </w:p>
    <w:p w14:paraId="2680EE94" w14:textId="77777777" w:rsidR="00ED33E5" w:rsidRDefault="00AB713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La risposta è sì, ecco come</w:t>
      </w:r>
    </w:p>
    <w:p w14:paraId="3B4D7570" w14:textId="77777777" w:rsidR="00ED33E5" w:rsidRDefault="00ED33E5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59F2314" w14:textId="77777777" w:rsidR="00ED33E5" w:rsidRDefault="00AB7134">
      <w:pPr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Il monitoraggio, frutto di una approfondita ricerca dell’Università Cattolica del Sacro Cuore, ANBI Emilia Romagna, Consorzio di Bonifica di Piacenza e CREA è stato presentato oggi all'ateneo piacentino nell’ambito del progetto Food Mood con sorprendenti r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isultati  </w:t>
      </w:r>
    </w:p>
    <w:p w14:paraId="6511847D" w14:textId="77777777" w:rsidR="00ED33E5" w:rsidRDefault="00AB7134">
      <w:pPr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C14A186" w14:textId="6AD2B303" w:rsidR="00ED33E5" w:rsidRDefault="00AB713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PIACENZA </w:t>
      </w:r>
      <w:r>
        <w:rPr>
          <w:rFonts w:ascii="Times New Roman" w:eastAsia="Times New Roman" w:hAnsi="Times New Roman" w:cs="Times New Roman"/>
          <w:sz w:val="28"/>
          <w:szCs w:val="28"/>
        </w:rPr>
        <w:t>–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27 Gennaio 2022)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La pandemia ha modificato l’atteggiamento degli adolescenti, in particolare quelli che frequentano le scuole superiori, nei confronti del cibo e nelle modalità con cui si rapportano quotidianamente all’alimentazi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one? Secondo la prima ricerca in campo nazionale svolta dal team di studio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dell’Università Cattolica di Piacenza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insieme 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ANBI Emilia Romagna, CREA e Consorzio di bonifica di Piacenza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la risposta è “si” se pensiamo che ben il 54% dei ragazzi intervistati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ha esplicitamente dichiarato di aver cambiato (forse per sempre) le proprie abitudini alimentari da quando il virus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Covid-19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ha fatto improvvisa irruzione nelle loro vite. Occorre tuttavia approfondire questo dato, per comprendere al meglio se questi mutam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enti abbiano avuto nell’insieme un effetto positivo o negativo.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“Il progetto Food Mood offre molteplici opportunità di analisi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il quadro che emerge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dalla ricerca che presentiamo nel dettaglio oggi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ha commentato il professor Edoardo Fornari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che ha coordinato lo studio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è caratterizzato da un contrasto tra luci e ombre, nel quale però le prime sembrano fortunatamente prevalere sulle seconde”. </w:t>
      </w:r>
      <w:r>
        <w:rPr>
          <w:rFonts w:ascii="Times New Roman" w:eastAsia="Times New Roman" w:hAnsi="Times New Roman" w:cs="Times New Roman"/>
          <w:sz w:val="28"/>
          <w:szCs w:val="28"/>
        </w:rPr>
        <w:t>Tra i cambiamenti in senso peggiorativo emergono soprattut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 due aspetti. Da un lato un aumento consistente del tempo in solitudine e dedicato all’uso dei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device </w:t>
      </w:r>
      <w:r>
        <w:rPr>
          <w:rFonts w:ascii="Times New Roman" w:eastAsia="Times New Roman" w:hAnsi="Times New Roman" w:cs="Times New Roman"/>
          <w:sz w:val="28"/>
          <w:szCs w:val="28"/>
        </w:rPr>
        <w:t>digitali, con i conseguenti impatti negativi su tutte le sfere della socialità, inclusa quella della condivisione del cibo come momento di gratificazion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e di evasione. Ne deriva che circa il 15% dei ragazzi adolescenti vive, purtroppo, l’alimentazione come un problema, che l’emergenza Covid-19 ha di fatto esasperato. Dall’altro lato, vi è il consolidamento di una “brutta abitudine” che si stava peraltro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già affermando nell’era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-pandemica: quella di non fare la prima colazione. Questo comportamento riguarda ormai circa un quarto degli studenti e studentesse di scuola superiore, che non riconoscono a questo momento di consumo la sua fondamentale importan</w:t>
      </w:r>
      <w:r>
        <w:rPr>
          <w:rFonts w:ascii="Times New Roman" w:eastAsia="Times New Roman" w:hAnsi="Times New Roman" w:cs="Times New Roman"/>
          <w:sz w:val="28"/>
          <w:szCs w:val="28"/>
        </w:rPr>
        <w:t>za. I cambiamenti migliorativi, però, sono molti e decisamente incoraggianti. In primis, i lockdown, la DAD, lo smart working e più in generale il maggior tempo trascorso tra le mura domestiche hanno favorito il recupero di una “bella abitudine”, quella 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lla “socialità” dei pasti in famiglia.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Nel 96% dei casi, infatti, pranzi e cene oggi si consumano in compagnia di mamma, papà, fratelli e sorelle, tutti seduti insieme a tavola. Un altro aspetto positivo indotto dall’emergenza Covid-19 è stato quello di un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 maggiore attenzione, rispetto al passato, alla sicurezza dei prodotti: c’è una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crescente domanda di “Food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Safety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 che deriva da un fortissimo bisogno di rassicurazione da parte dei giovani rispetto a tutto ciò che si mangia e si beve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E, nello stesso tem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po, c’è una diffusa propensione al “salutismo” alimentare, nel senso che 2 adolescenti su 3 hanno iniziato a scegliere cibi con meno grassi, meno zuccheri, meno sale e/o hanno ridotto la quantità complessiva di cibo consumato. Il tutto accompagnato da un’o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ttima predisposizione a svolgere attività fisica: almeno una volta a settimana nel 78% dei casi.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Infine, altri due aspetti molto interessanti e promettenti. Da un lato c’è una crescente aderenza di questi ragazzi e ragazze, nei loro consumi quotidiani, ai </w:t>
      </w:r>
      <w:r>
        <w:rPr>
          <w:rFonts w:ascii="Times New Roman" w:eastAsia="Times New Roman" w:hAnsi="Times New Roman" w:cs="Times New Roman"/>
          <w:sz w:val="28"/>
          <w:szCs w:val="28"/>
        </w:rPr>
        <w:t>principi-guida della cosiddetta “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dieta mediterranea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”. E dall’altro si è affermata, negli ultimi mesi, una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bellissima riscoperta dei prodotti tipici del territorio: le eccellenze DOP e IGP dell’Emilia-Romagna come Parmigiano Reggiano e Grana, il Prosciutto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di Parma, la Coppa Piacentina. Prodotti della tradizione a cui il 70/80% degli adolescenti associa una straordinaria superiorità qualitativa rispetto alle alternative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“convenzionali” disponibili sul mercato. “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Da questa importante ricerca si comprende che 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ontesto penalizzante causato dall’emergenza pandemica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ha sottolineato il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presidente di ANBI e ANBI ER Francesco Vincenzi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ha generato, come elemento positivo, la migliore e maggiore attenzione ad una alimentazione sana, tracciabile, spesso di prossimità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frutto delle nostre terre. Ed è per queste ragioni fondamentali che ANBI (che grazie alla gestione della risorsa idrica attraverso le reti Consorzi distribuisce a tutte le colture tipiche l’elemento naturale acqua) ha rinsaldato la collaborazione fattiva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con l’Ateneo per i prossimi tre anni. La ricerca e l’aggiornamento dei dati sono essenziali così come il coinvolgimento delle giovani generazioni</w:t>
      </w:r>
      <w:r>
        <w:rPr>
          <w:rFonts w:ascii="Times New Roman" w:eastAsia="Times New Roman" w:hAnsi="Times New Roman" w:cs="Times New Roman"/>
          <w:sz w:val="28"/>
          <w:szCs w:val="28"/>
        </w:rPr>
        <w:t>”. In questo senso il “terremoto” provocato dalla pandemia sembra aver avuto l’effetto di rinsaldare le fondame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nta del “ponte generazionale” tra gli adolescenti e i loro genitori/nonni, stimolando un fenomeno di “ritorno alle radici” enogastronomiche che ha generato rassicurazione e senso di comunità, rendendoci tutti psicologicamente più forti”. I risultati della </w:t>
      </w:r>
      <w:r>
        <w:rPr>
          <w:rFonts w:ascii="Times New Roman" w:eastAsia="Times New Roman" w:hAnsi="Times New Roman" w:cs="Times New Roman"/>
          <w:sz w:val="28"/>
          <w:szCs w:val="28"/>
        </w:rPr>
        <w:t>ricerca e gli scenari esaminati dalle diverse prospettive (</w:t>
      </w:r>
      <w:r>
        <w:rPr>
          <w:rFonts w:ascii="Times New Roman" w:eastAsia="Times New Roman" w:hAnsi="Times New Roman" w:cs="Times New Roman"/>
          <w:sz w:val="28"/>
          <w:szCs w:val="28"/>
        </w:rPr>
        <w:t>su un campione rappresentativo di circa 600 studenti raccolto nel corso del progetto Acqua da Mangiare di ANBI Emilia Romagna negli istituti superiori svolto durante i mesi di lockdown)  sono stat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presentati oggi nel corso dell’incontro - moderato dal giornalista Andrea Gavazzoli - nella Sala Giuseppe Piana dell’UNICATT di Piacenza dagli esperti: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Marco Trevisan (preside UNICATT), Mauro Balordi ( direttore UNICATT PC e CR) Emanuele Marconi (diretto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 CREA), Francesco Vincenzi (presidente ANBI) Luigi Bisi (Consorzio di Bonifica di Piacenza), Edoardo Fornari ( Scienze Agrarie Alimentari UNICATT), Laura Rossi (CREA), Angela Ragnetti (psicologa e psicoterapeuta), Maria Teresa Andena (Preside istituti ag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rari Emilia Romagna), Francesco Orlando (agronomo MI/MUR). </w:t>
      </w:r>
    </w:p>
    <w:p w14:paraId="6E858405" w14:textId="77777777" w:rsidR="00ED33E5" w:rsidRDefault="00AB71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Ora la domanda che possiamo porci è la seguente: questi cambiamenti sono destinati a consolidarsi o ad azzerarsi nei prossimi mesi/anni? È proprio per (tentare di) dare una risposta a questo quesi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 che il progetto “Food Mood” porterà avanti, nei prossimi due anni, ulteriori analisi e approfondimenti sul tema, con la preziosa collaborazione delle scuole superiori dell’Emilia-Romagna. </w:t>
      </w:r>
    </w:p>
    <w:sectPr w:rsidR="00ED33E5">
      <w:pgSz w:w="11906" w:h="16838"/>
      <w:pgMar w:top="992" w:right="1134" w:bottom="973" w:left="1134" w:header="340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E5"/>
    <w:rsid w:val="00AB7134"/>
    <w:rsid w:val="00E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D325"/>
  <w15:docId w15:val="{56952311-9F19-4DE0-9399-83E86995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75329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466CA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621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117"/>
  </w:style>
  <w:style w:type="paragraph" w:styleId="Pidipagina">
    <w:name w:val="footer"/>
    <w:basedOn w:val="Normale"/>
    <w:link w:val="PidipaginaCarattere"/>
    <w:uiPriority w:val="99"/>
    <w:unhideWhenUsed/>
    <w:rsid w:val="001621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117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4IPAmIBOIvbi2gKRTVJUau0msA==">AMUW2mUmUl9rBxpphDPAUWDeet9g1mrn+v1E89L9HsWg+LrrKIdt43Wwim2WDb340V20TR/8jfNB22hROIzxZYbXC/Pm9nPnSWQFyptDBDYBMybOwTgiuFo=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Alberici</dc:creator>
  <cp:lastModifiedBy>Patrizia Narducci</cp:lastModifiedBy>
  <cp:revision>2</cp:revision>
  <dcterms:created xsi:type="dcterms:W3CDTF">2022-01-26T18:52:00Z</dcterms:created>
  <dcterms:modified xsi:type="dcterms:W3CDTF">2022-01-26T18:52:00Z</dcterms:modified>
</cp:coreProperties>
</file>